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D7AA4F" w14:textId="64CF907F" w:rsidR="00EC7BCB" w:rsidRDefault="00AE47DA"/>
    <w:p w14:paraId="0D06DC27" w14:textId="77777777" w:rsidR="008A6301" w:rsidRDefault="008A6301" w:rsidP="008A6301">
      <w:pPr>
        <w:pStyle w:val="Title"/>
        <w:jc w:val="left"/>
        <w:rPr>
          <w:b w:val="0"/>
        </w:rPr>
      </w:pPr>
    </w:p>
    <w:p w14:paraId="094957C8" w14:textId="616AD857" w:rsidR="008A6301" w:rsidRDefault="008A6301" w:rsidP="008A6301">
      <w:pPr>
        <w:pStyle w:val="Title"/>
        <w:jc w:val="left"/>
        <w:rPr>
          <w:b w:val="0"/>
        </w:rPr>
      </w:pPr>
      <w:r>
        <w:rPr>
          <w:b w:val="0"/>
        </w:rPr>
        <w:t>The Reluctant Software Developers</w:t>
      </w:r>
      <w:r w:rsidR="00AE47DA">
        <w:rPr>
          <w:b w:val="0"/>
        </w:rPr>
        <w:t>*</w:t>
      </w:r>
    </w:p>
    <w:p w14:paraId="5DB9500C" w14:textId="77777777" w:rsidR="008A6301" w:rsidRDefault="008A6301" w:rsidP="008A6301">
      <w:pPr>
        <w:pStyle w:val="Title"/>
        <w:jc w:val="left"/>
        <w:rPr>
          <w:b w:val="0"/>
          <w:sz w:val="24"/>
        </w:rPr>
      </w:pPr>
    </w:p>
    <w:p w14:paraId="2940C5A3" w14:textId="77777777" w:rsidR="008A6301" w:rsidRDefault="008A6301" w:rsidP="008A6301">
      <w:pPr>
        <w:pStyle w:val="Title"/>
        <w:jc w:val="left"/>
        <w:rPr>
          <w:b w:val="0"/>
          <w:sz w:val="24"/>
        </w:rPr>
      </w:pPr>
      <w:r>
        <w:rPr>
          <w:b w:val="0"/>
          <w:sz w:val="24"/>
        </w:rPr>
        <w:t>Case Reporters: Leonard Webster and David Murphy</w:t>
      </w:r>
    </w:p>
    <w:p w14:paraId="34EAB98F" w14:textId="77777777" w:rsidR="008A6301" w:rsidRDefault="008A6301" w:rsidP="008A6301">
      <w:pPr>
        <w:pStyle w:val="Heading1"/>
      </w:pPr>
    </w:p>
    <w:p w14:paraId="2BDD7765" w14:textId="77777777" w:rsidR="008A6301" w:rsidRDefault="008A6301" w:rsidP="008A6301">
      <w:pPr>
        <w:pStyle w:val="Heading1"/>
      </w:pPr>
    </w:p>
    <w:p w14:paraId="6A3A2C5D" w14:textId="77777777" w:rsidR="008A6301" w:rsidRDefault="008A6301" w:rsidP="008A6301">
      <w:pPr>
        <w:pStyle w:val="Heading1"/>
      </w:pPr>
      <w:r>
        <w:t>Issues Raised</w:t>
      </w:r>
    </w:p>
    <w:p w14:paraId="54C4E159" w14:textId="77777777" w:rsidR="008A6301" w:rsidRDefault="008A6301" w:rsidP="008A6301">
      <w:pPr>
        <w:rPr>
          <w:rFonts w:ascii="Arial" w:hAnsi="Arial"/>
        </w:rPr>
      </w:pPr>
    </w:p>
    <w:p w14:paraId="2005ECF3" w14:textId="77777777" w:rsidR="008A6301" w:rsidRDefault="008A6301" w:rsidP="008A6301">
      <w:pPr>
        <w:rPr>
          <w:rFonts w:ascii="Arial" w:hAnsi="Arial"/>
        </w:rPr>
      </w:pPr>
      <w:r>
        <w:rPr>
          <w:rFonts w:ascii="Arial" w:hAnsi="Arial"/>
        </w:rPr>
        <w:t>The issue in this case is whether to use readily available software or to create a new software tool for an online learning environment.  A key issue is also the extent to which principles of good teaching and learning influence the decision.</w:t>
      </w:r>
    </w:p>
    <w:p w14:paraId="1E5FE30C" w14:textId="77777777" w:rsidR="008A6301" w:rsidRDefault="008A6301" w:rsidP="008A6301">
      <w:pPr>
        <w:rPr>
          <w:rFonts w:ascii="Arial" w:hAnsi="Arial"/>
        </w:rPr>
      </w:pPr>
    </w:p>
    <w:p w14:paraId="5F9602BF" w14:textId="77777777" w:rsidR="008A6301" w:rsidRDefault="008A6301" w:rsidP="008A6301">
      <w:pPr>
        <w:rPr>
          <w:rFonts w:ascii="Arial" w:hAnsi="Arial"/>
        </w:rPr>
      </w:pPr>
    </w:p>
    <w:p w14:paraId="18F44CDB" w14:textId="77777777" w:rsidR="008A6301" w:rsidRDefault="008A6301" w:rsidP="008A6301">
      <w:pPr>
        <w:pStyle w:val="Heading3"/>
        <w:rPr>
          <w:b w:val="0"/>
        </w:rPr>
      </w:pPr>
      <w:r>
        <w:rPr>
          <w:b w:val="0"/>
        </w:rPr>
        <w:t>Background</w:t>
      </w:r>
    </w:p>
    <w:p w14:paraId="6F351D83" w14:textId="77777777" w:rsidR="008A6301" w:rsidRDefault="008A6301" w:rsidP="008A6301">
      <w:pPr>
        <w:rPr>
          <w:rFonts w:ascii="Arial" w:hAnsi="Arial"/>
        </w:rPr>
      </w:pPr>
    </w:p>
    <w:p w14:paraId="63BA0E05" w14:textId="77777777" w:rsidR="008A6301" w:rsidRDefault="008A6301" w:rsidP="008A6301">
      <w:pPr>
        <w:rPr>
          <w:rFonts w:ascii="Arial" w:hAnsi="Arial"/>
        </w:rPr>
      </w:pPr>
      <w:r>
        <w:rPr>
          <w:rFonts w:ascii="Arial" w:hAnsi="Arial"/>
        </w:rPr>
        <w:t xml:space="preserve">This case study concerns the first of four subjects of the Graduate Certificate in Higher Education from Monash University, a multi-campus institution based in Australia. The course is the responsibility of the Centre for Higher Education Development, which has a group of seven academics, who were involved (preparing content or designing the learning environment) in developing the semester-long subject, </w:t>
      </w:r>
      <w:r>
        <w:rPr>
          <w:rFonts w:ascii="Arial" w:hAnsi="Arial"/>
          <w:i/>
        </w:rPr>
        <w:t>Designing for Learning</w:t>
      </w:r>
      <w:r>
        <w:rPr>
          <w:rFonts w:ascii="Arial" w:hAnsi="Arial"/>
        </w:rPr>
        <w:t>. Development began in the latter half of 1998, in preparation for the first cohort in Semester 1 of 1999 of 40 participants, all Monash academics seeking to improve their teaching skills.</w:t>
      </w:r>
    </w:p>
    <w:p w14:paraId="73B8B127" w14:textId="77777777" w:rsidR="008A6301" w:rsidRDefault="008A6301" w:rsidP="008A6301">
      <w:pPr>
        <w:rPr>
          <w:rFonts w:ascii="Arial" w:hAnsi="Arial"/>
        </w:rPr>
      </w:pPr>
    </w:p>
    <w:p w14:paraId="0F710F1F" w14:textId="77777777" w:rsidR="008A6301" w:rsidRDefault="008A6301" w:rsidP="008A6301">
      <w:pPr>
        <w:pStyle w:val="Heading3"/>
        <w:rPr>
          <w:b w:val="0"/>
        </w:rPr>
      </w:pPr>
    </w:p>
    <w:p w14:paraId="7F5DC5BD" w14:textId="77777777" w:rsidR="008A6301" w:rsidRDefault="008A6301" w:rsidP="008A6301"/>
    <w:p w14:paraId="4B77EDAD" w14:textId="77777777" w:rsidR="008A6301" w:rsidRDefault="008A6301" w:rsidP="008A6301">
      <w:pPr>
        <w:pStyle w:val="Heading3"/>
        <w:rPr>
          <w:b w:val="0"/>
        </w:rPr>
      </w:pPr>
      <w:r>
        <w:rPr>
          <w:b w:val="0"/>
        </w:rPr>
        <w:t>PART ONE</w:t>
      </w:r>
    </w:p>
    <w:p w14:paraId="52E5F62A" w14:textId="77777777" w:rsidR="008A6301" w:rsidRDefault="008A6301" w:rsidP="008A6301"/>
    <w:p w14:paraId="5B218DCF" w14:textId="77777777" w:rsidR="008A6301" w:rsidRDefault="008A6301" w:rsidP="008A6301">
      <w:pPr>
        <w:rPr>
          <w:rFonts w:ascii="Arial" w:hAnsi="Arial"/>
        </w:rPr>
      </w:pPr>
      <w:r>
        <w:rPr>
          <w:rFonts w:ascii="Arial" w:hAnsi="Arial"/>
        </w:rPr>
        <w:t xml:space="preserve">We didn’t want to create software. With eight months to go before the course commenced, work on the first subject in the Graduate Certificate began, with David </w:t>
      </w:r>
      <w:proofErr w:type="spellStart"/>
      <w:r>
        <w:rPr>
          <w:rFonts w:ascii="Arial" w:hAnsi="Arial"/>
        </w:rPr>
        <w:t>co-ordinating</w:t>
      </w:r>
      <w:proofErr w:type="spellEnd"/>
      <w:r>
        <w:rPr>
          <w:rFonts w:ascii="Arial" w:hAnsi="Arial"/>
        </w:rPr>
        <w:t xml:space="preserve"> the subject team. Although the curriculum was largely in place, both content and process attracted vigorous debate as the subject team grappled with their first major project. With varying discipline backgrounds and teaching experience in the group, it took some time to reach an agreed position on the basic underpinning approach to learning that would be adopted for the course. One of the guiding principles was to use an activity-based approach, where learning was active, engaging and relevant to the teaching practice of the students.  The subject team agreed that an online component, in combination with face-to-face sessions and print-based learning materials, was essential to the success of the subject and ultimately the course.</w:t>
      </w:r>
    </w:p>
    <w:p w14:paraId="314A3543" w14:textId="77777777" w:rsidR="008A6301" w:rsidRDefault="008A6301" w:rsidP="008A6301">
      <w:pPr>
        <w:ind w:firstLine="720"/>
        <w:rPr>
          <w:rFonts w:ascii="Arial" w:hAnsi="Arial"/>
        </w:rPr>
      </w:pPr>
      <w:r>
        <w:rPr>
          <w:rFonts w:ascii="Arial" w:hAnsi="Arial"/>
        </w:rPr>
        <w:t xml:space="preserve">The responsibility for this online development </w:t>
      </w:r>
      <w:proofErr w:type="gramStart"/>
      <w:r>
        <w:rPr>
          <w:rFonts w:ascii="Arial" w:hAnsi="Arial"/>
        </w:rPr>
        <w:t>fell</w:t>
      </w:r>
      <w:proofErr w:type="gramEnd"/>
      <w:r>
        <w:rPr>
          <w:rFonts w:ascii="Arial" w:hAnsi="Arial"/>
        </w:rPr>
        <w:t xml:space="preserve"> primarily on the authors. Both of us had previous experience in the development and design of multimedia resources for open and distance education. However, the final form this activity-based online environment might take was unclear. </w:t>
      </w:r>
    </w:p>
    <w:p w14:paraId="06EA16DF" w14:textId="77777777" w:rsidR="008A6301" w:rsidRDefault="008A6301" w:rsidP="008A6301">
      <w:pPr>
        <w:ind w:firstLine="720"/>
        <w:rPr>
          <w:rFonts w:ascii="Arial" w:hAnsi="Arial"/>
        </w:rPr>
      </w:pPr>
      <w:r>
        <w:rPr>
          <w:rFonts w:ascii="Arial" w:hAnsi="Arial"/>
        </w:rPr>
        <w:t xml:space="preserve">Influencing our thoughts were the need for flexibility in both time and access to materials to enable busy University staff to undertake the subject. Those enrolled in the subject had teaching commitments and were employed full time in the </w:t>
      </w:r>
      <w:r>
        <w:rPr>
          <w:rFonts w:ascii="Arial" w:hAnsi="Arial"/>
        </w:rPr>
        <w:lastRenderedPageBreak/>
        <w:t xml:space="preserve">University resulting in restricted opportunity for face-to-face meetings during the teaching semester. Further, experienced teachers with many years of teaching in higher education would be working with those who were new or relatively new to higher education. This created an opportunity for collaboration that we were determined not to lose in </w:t>
      </w:r>
      <w:proofErr w:type="spellStart"/>
      <w:r>
        <w:rPr>
          <w:rFonts w:ascii="Arial" w:hAnsi="Arial"/>
        </w:rPr>
        <w:t>utilising</w:t>
      </w:r>
      <w:proofErr w:type="spellEnd"/>
      <w:r>
        <w:rPr>
          <w:rFonts w:ascii="Arial" w:hAnsi="Arial"/>
        </w:rPr>
        <w:t xml:space="preserve"> an online learning environment, and was to become a key factor in the final decision. </w:t>
      </w:r>
    </w:p>
    <w:p w14:paraId="5D7C2015" w14:textId="77777777" w:rsidR="008A6301" w:rsidRDefault="008A6301" w:rsidP="008A6301">
      <w:pPr>
        <w:ind w:firstLine="720"/>
        <w:rPr>
          <w:rFonts w:ascii="Arial" w:hAnsi="Arial"/>
        </w:rPr>
      </w:pPr>
      <w:r>
        <w:rPr>
          <w:rFonts w:ascii="Arial" w:hAnsi="Arial"/>
        </w:rPr>
        <w:t xml:space="preserve">The problem of finding an online tool that would give both access and flexibility as well as foster the activity, engagement and notions of collaborative learning embedded in the subject design and learning outcomes, nagged at us for many weeks. Members of the development team were keen, in particular, to emulate the kinds of interaction that took place in staff development workshops, where participants shared experiences and came to a shared understanding of concepts. A particular workshop activity successfully used by our colleagues provided a special challenge. For the activity, participants work in small groups, addressing questions of factors that produce good and bad learning experiences. Ideas and examples are shared, so that participants can begin to see patterns of </w:t>
      </w:r>
      <w:proofErr w:type="gramStart"/>
      <w:r>
        <w:rPr>
          <w:rFonts w:ascii="Arial" w:hAnsi="Arial"/>
        </w:rPr>
        <w:t>responses  emerge</w:t>
      </w:r>
      <w:proofErr w:type="gramEnd"/>
      <w:r>
        <w:rPr>
          <w:rFonts w:ascii="Arial" w:hAnsi="Arial"/>
        </w:rPr>
        <w:t xml:space="preserve">. How was this to be done in an online environment with something more creative and engaging than the usual electronic discussion group? </w:t>
      </w:r>
    </w:p>
    <w:p w14:paraId="7DE7B2DF" w14:textId="77777777" w:rsidR="008A6301" w:rsidRDefault="008A6301" w:rsidP="008A6301">
      <w:pPr>
        <w:ind w:firstLine="720"/>
        <w:rPr>
          <w:rFonts w:ascii="Arial" w:hAnsi="Arial"/>
        </w:rPr>
      </w:pPr>
      <w:r>
        <w:rPr>
          <w:rFonts w:ascii="Arial" w:hAnsi="Arial"/>
        </w:rPr>
        <w:t xml:space="preserve">In searching for the </w:t>
      </w:r>
      <w:proofErr w:type="gramStart"/>
      <w:r>
        <w:rPr>
          <w:rFonts w:ascii="Arial" w:hAnsi="Arial"/>
        </w:rPr>
        <w:t>solution</w:t>
      </w:r>
      <w:proofErr w:type="gramEnd"/>
      <w:r>
        <w:rPr>
          <w:rFonts w:ascii="Arial" w:hAnsi="Arial"/>
        </w:rPr>
        <w:t xml:space="preserve"> a consultant was commissioned to report on a range of commercially available software tools. The report produced outlined the features of WebCT, Top Class and others, and mapped these against our needs. The outcome was anything but promising, simply confirming that we were looking for something different, beyond the standard communications, presentation of information and management features that seemed to dominate such software. The available systems with their established interactions forced a particular method of teaching that was incompatible with the underpinnings of the course. In particular, we could not see how our desired notions of collaboration could be addressed. Reluctantly, we began to </w:t>
      </w:r>
      <w:proofErr w:type="spellStart"/>
      <w:r>
        <w:rPr>
          <w:rFonts w:ascii="Arial" w:hAnsi="Arial"/>
        </w:rPr>
        <w:t>realise</w:t>
      </w:r>
      <w:proofErr w:type="spellEnd"/>
      <w:r>
        <w:rPr>
          <w:rFonts w:ascii="Arial" w:hAnsi="Arial"/>
        </w:rPr>
        <w:t xml:space="preserve"> that we may have to pursue the option of creating our own software tool.</w:t>
      </w:r>
    </w:p>
    <w:p w14:paraId="3CC60EC5" w14:textId="77777777" w:rsidR="008A6301" w:rsidRDefault="008A6301" w:rsidP="008A6301">
      <w:pPr>
        <w:ind w:firstLine="720"/>
        <w:rPr>
          <w:rFonts w:ascii="Arial" w:hAnsi="Arial"/>
        </w:rPr>
      </w:pPr>
      <w:r>
        <w:rPr>
          <w:rFonts w:ascii="Arial" w:hAnsi="Arial"/>
        </w:rPr>
        <w:t xml:space="preserve">Over a number of </w:t>
      </w:r>
      <w:proofErr w:type="gramStart"/>
      <w:r>
        <w:rPr>
          <w:rFonts w:ascii="Arial" w:hAnsi="Arial"/>
        </w:rPr>
        <w:t>weeks</w:t>
      </w:r>
      <w:proofErr w:type="gramEnd"/>
      <w:r>
        <w:rPr>
          <w:rFonts w:ascii="Arial" w:hAnsi="Arial"/>
        </w:rPr>
        <w:t xml:space="preserve"> we discussed many options only to abandon them for reasons of scope, resources or inappropriate features. We became aware of the risks that were developing as we faced the key decision of whether to stick with our vision of online learning and try to make it a reality, or take a safer route and use an established system. The need to </w:t>
      </w:r>
      <w:proofErr w:type="spellStart"/>
      <w:r>
        <w:rPr>
          <w:rFonts w:ascii="Arial" w:hAnsi="Arial"/>
        </w:rPr>
        <w:t>finalise</w:t>
      </w:r>
      <w:proofErr w:type="spellEnd"/>
      <w:r>
        <w:rPr>
          <w:rFonts w:ascii="Arial" w:hAnsi="Arial"/>
        </w:rPr>
        <w:t xml:space="preserve"> a direction for the online environment came to a climax one day in David's office as we sat around discussing the subject and how to design the online environment. As usual, we sat at the table in the middle of the office, with bits of paper covered in draft screens and maps with scribbled notes appended. We had an idea of what we were after, but couldn’t see how it could be achieved.</w:t>
      </w:r>
    </w:p>
    <w:p w14:paraId="15317BDA" w14:textId="77777777" w:rsidR="008A6301" w:rsidRDefault="008A6301" w:rsidP="008A6301">
      <w:pPr>
        <w:ind w:firstLine="720"/>
        <w:rPr>
          <w:rFonts w:ascii="Arial" w:hAnsi="Arial"/>
        </w:rPr>
      </w:pPr>
      <w:r>
        <w:rPr>
          <w:rFonts w:ascii="Arial" w:hAnsi="Arial"/>
        </w:rPr>
        <w:t xml:space="preserve">Whatever the decision it had to be simple (given the development timeframe and resources) and made quickly, as the remainder of the team had commenced developing material for the subject, preparing content and sifting through online resources. Most importantly, they needed to know what was going to be possible with the online activities, the core of the learning environment. It would become more difficult to implement any solution, indeed convince the team members of the worth of the approach, if they reached a point that considerable reworking and increased effort was required. It was with a feeling of increased pressure that we struggled towards a solution. </w:t>
      </w:r>
    </w:p>
    <w:p w14:paraId="26691D55" w14:textId="77777777" w:rsidR="008A6301" w:rsidRDefault="008A6301" w:rsidP="008A6301">
      <w:pPr>
        <w:ind w:firstLine="360"/>
        <w:rPr>
          <w:rFonts w:ascii="Arial" w:hAnsi="Arial"/>
        </w:rPr>
      </w:pPr>
      <w:r>
        <w:rPr>
          <w:rFonts w:ascii="Arial" w:hAnsi="Arial"/>
        </w:rPr>
        <w:t>“I can see what we want, but just can’t see how we can do it!” said David in some desperation.</w:t>
      </w:r>
    </w:p>
    <w:p w14:paraId="29971621" w14:textId="77777777" w:rsidR="008A6301" w:rsidRDefault="008A6301" w:rsidP="008A6301">
      <w:pPr>
        <w:rPr>
          <w:rFonts w:ascii="Arial" w:hAnsi="Arial"/>
        </w:rPr>
      </w:pPr>
    </w:p>
    <w:p w14:paraId="2438B812" w14:textId="77777777" w:rsidR="008A6301" w:rsidRDefault="008A6301" w:rsidP="008A6301">
      <w:pPr>
        <w:numPr>
          <w:ilvl w:val="0"/>
          <w:numId w:val="2"/>
        </w:numPr>
        <w:jc w:val="both"/>
        <w:rPr>
          <w:rFonts w:ascii="Arial" w:hAnsi="Arial"/>
          <w:i/>
        </w:rPr>
      </w:pPr>
      <w:r>
        <w:rPr>
          <w:rFonts w:ascii="Arial" w:hAnsi="Arial"/>
          <w:i/>
        </w:rPr>
        <w:t>What should drive the decision: modifying the teaching approach to match available software, or developing software to match the teaching approach?</w:t>
      </w:r>
    </w:p>
    <w:p w14:paraId="2EFA5A57" w14:textId="77777777" w:rsidR="008A6301" w:rsidRDefault="008A6301" w:rsidP="008A6301">
      <w:pPr>
        <w:numPr>
          <w:ilvl w:val="0"/>
          <w:numId w:val="2"/>
        </w:numPr>
        <w:jc w:val="both"/>
        <w:rPr>
          <w:rFonts w:ascii="Arial" w:hAnsi="Arial"/>
          <w:i/>
        </w:rPr>
      </w:pPr>
      <w:r>
        <w:rPr>
          <w:rFonts w:ascii="Arial" w:hAnsi="Arial"/>
          <w:i/>
        </w:rPr>
        <w:t>What are the risks involved with either decision?</w:t>
      </w:r>
    </w:p>
    <w:p w14:paraId="5568803D" w14:textId="77777777" w:rsidR="008A6301" w:rsidRDefault="008A6301" w:rsidP="008A6301">
      <w:pPr>
        <w:numPr>
          <w:ilvl w:val="0"/>
          <w:numId w:val="2"/>
        </w:numPr>
        <w:jc w:val="both"/>
        <w:rPr>
          <w:rFonts w:ascii="Arial" w:hAnsi="Arial"/>
          <w:i/>
        </w:rPr>
      </w:pPr>
      <w:r>
        <w:rPr>
          <w:rFonts w:ascii="Arial" w:hAnsi="Arial"/>
          <w:i/>
        </w:rPr>
        <w:t>Irrespective of the ‘ideal’ approach, what would you have done in this situation?</w:t>
      </w:r>
    </w:p>
    <w:p w14:paraId="250C8CB0" w14:textId="77777777" w:rsidR="008A6301" w:rsidRDefault="008A6301" w:rsidP="008A6301">
      <w:pPr>
        <w:numPr>
          <w:ilvl w:val="0"/>
          <w:numId w:val="2"/>
        </w:numPr>
        <w:jc w:val="both"/>
        <w:rPr>
          <w:rFonts w:ascii="Arial" w:hAnsi="Arial"/>
          <w:i/>
        </w:rPr>
      </w:pPr>
      <w:r>
        <w:rPr>
          <w:rFonts w:ascii="Arial" w:hAnsi="Arial"/>
          <w:i/>
        </w:rPr>
        <w:t>What do you think actually happened?</w:t>
      </w:r>
    </w:p>
    <w:p w14:paraId="6D7DFE52" w14:textId="77777777" w:rsidR="008A6301" w:rsidRDefault="008A6301" w:rsidP="008A6301">
      <w:pPr>
        <w:ind w:left="360"/>
        <w:jc w:val="both"/>
        <w:rPr>
          <w:rFonts w:ascii="Arial" w:hAnsi="Arial"/>
          <w:i/>
        </w:rPr>
      </w:pPr>
    </w:p>
    <w:p w14:paraId="15928D72" w14:textId="77777777" w:rsidR="008A6301" w:rsidRDefault="008A6301" w:rsidP="008A6301">
      <w:pPr>
        <w:ind w:left="360"/>
        <w:jc w:val="both"/>
        <w:rPr>
          <w:rFonts w:ascii="Arial" w:hAnsi="Arial"/>
          <w:i/>
        </w:rPr>
      </w:pPr>
    </w:p>
    <w:p w14:paraId="3249196B" w14:textId="77777777" w:rsidR="008A6301" w:rsidRDefault="008A6301" w:rsidP="008A6301">
      <w:pPr>
        <w:pStyle w:val="Heading2"/>
        <w:rPr>
          <w:rFonts w:ascii="Arial" w:hAnsi="Arial"/>
          <w:b w:val="0"/>
        </w:rPr>
      </w:pPr>
      <w:r>
        <w:rPr>
          <w:rFonts w:ascii="Arial" w:hAnsi="Arial"/>
          <w:b w:val="0"/>
        </w:rPr>
        <w:t>PART TWO</w:t>
      </w:r>
    </w:p>
    <w:p w14:paraId="3960F0E4" w14:textId="77777777" w:rsidR="008A6301" w:rsidRDefault="008A6301" w:rsidP="008A6301">
      <w:pPr>
        <w:rPr>
          <w:rFonts w:ascii="Arial" w:hAnsi="Arial"/>
        </w:rPr>
      </w:pPr>
    </w:p>
    <w:p w14:paraId="57063E8E" w14:textId="77777777" w:rsidR="008A6301" w:rsidRDefault="008A6301" w:rsidP="008A6301">
      <w:pPr>
        <w:pStyle w:val="BodyText"/>
        <w:spacing w:after="0" w:line="240" w:lineRule="auto"/>
      </w:pPr>
      <w:r>
        <w:t xml:space="preserve">Rightly or wrongly, we were set on the risky strategy of developing a new software tool. As we sat at the table, the discussion kept returning to the face-to-face </w:t>
      </w:r>
      <w:proofErr w:type="gramStart"/>
      <w:r>
        <w:t>workshops,  how</w:t>
      </w:r>
      <w:proofErr w:type="gramEnd"/>
      <w:r>
        <w:t xml:space="preserve"> participants share understanding, and how this is shaped and developed by collaborative learning. Driven by this need, we </w:t>
      </w:r>
      <w:proofErr w:type="spellStart"/>
      <w:r>
        <w:t>focussed</w:t>
      </w:r>
      <w:proofErr w:type="spellEnd"/>
      <w:r>
        <w:t xml:space="preserve"> on the essential elements of what we thought we were after. </w:t>
      </w:r>
    </w:p>
    <w:p w14:paraId="259AC4B9" w14:textId="77777777" w:rsidR="008A6301" w:rsidRDefault="008A6301" w:rsidP="008A6301">
      <w:pPr>
        <w:pStyle w:val="BodyText"/>
        <w:spacing w:after="0" w:line="240" w:lineRule="auto"/>
        <w:ind w:firstLine="720"/>
      </w:pPr>
      <w:r>
        <w:t>Bit by bit, a picture began to emerge. First, participants would need individual work areas to complete and store online activities.  This was the equivalent of them reflecting on their own experiences or developing their own work and ideas.  This work area would become the core of their learning. But the individual ‘worksite’ (the name suggested by Len) would need to be much more than that – it must incorporate a special feature that allowed people to select and view the responses of others to given activities. Len had been working on a related problem in another project concerning some online tutorials we were developing, and suggested a way of answering the challenge.</w:t>
      </w:r>
    </w:p>
    <w:p w14:paraId="3D79BFB4" w14:textId="77777777" w:rsidR="008A6301" w:rsidRDefault="008A6301" w:rsidP="008A6301">
      <w:pPr>
        <w:pStyle w:val="BodyText"/>
        <w:spacing w:after="0" w:line="240" w:lineRule="auto"/>
        <w:ind w:firstLine="720"/>
      </w:pPr>
      <w:r>
        <w:t xml:space="preserve">The basic idea was to use a database to store responses to activities that could be accessed and shared by staff and students. Essentially, we wanted participants to be able to complete activities in a </w:t>
      </w:r>
      <w:proofErr w:type="spellStart"/>
      <w:r>
        <w:t>personalised</w:t>
      </w:r>
      <w:proofErr w:type="spellEnd"/>
      <w:r>
        <w:t xml:space="preserve"> online environment, but at the same time be able to view the responses of others with a simple search facility. This would become the key functionality of </w:t>
      </w:r>
      <w:proofErr w:type="spellStart"/>
      <w:r>
        <w:rPr>
          <w:i/>
        </w:rPr>
        <w:t>InterLearn</w:t>
      </w:r>
      <w:proofErr w:type="spellEnd"/>
      <w:r>
        <w:t>, the name eventually suggested for the software tool by David (suggesting ‘interactive learning on the Internet’).</w:t>
      </w:r>
    </w:p>
    <w:p w14:paraId="02BC35B6" w14:textId="77777777" w:rsidR="008A6301" w:rsidRDefault="008A6301" w:rsidP="008A6301">
      <w:pPr>
        <w:pStyle w:val="BodyText"/>
        <w:spacing w:after="0" w:line="240" w:lineRule="auto"/>
        <w:ind w:firstLine="720"/>
      </w:pPr>
      <w:r>
        <w:t xml:space="preserve">Once we hit on the initial ideas, a talented programmer and a creative graphic artist who had worked on other CHED projects were brought in to help turn the vision into reality. We wanted to take the first online module of the subject, develop it into an interactive learning environment, then use it as a template for the other four shorter modules. One of the key requirements of the early activities was the online equivalent of the face-to-face workshop activity discussed above – that is, participants were to reflect on what learning was all about, then somehow share their thoughts with others in the class. Essentially, they were to complete a series of online activities, then have a look at what others were writing in order to </w:t>
      </w:r>
      <w:proofErr w:type="spellStart"/>
      <w:r>
        <w:t>analyse</w:t>
      </w:r>
      <w:proofErr w:type="spellEnd"/>
      <w:r>
        <w:t xml:space="preserve"> and </w:t>
      </w:r>
      <w:proofErr w:type="spellStart"/>
      <w:r>
        <w:t>synthesise</w:t>
      </w:r>
      <w:proofErr w:type="spellEnd"/>
      <w:r>
        <w:t xml:space="preserve"> the collective understanding of the class. </w:t>
      </w:r>
    </w:p>
    <w:p w14:paraId="09652804" w14:textId="77777777" w:rsidR="008A6301" w:rsidRDefault="008A6301" w:rsidP="008A6301">
      <w:pPr>
        <w:ind w:firstLine="720"/>
        <w:rPr>
          <w:rFonts w:ascii="Arial" w:hAnsi="Arial"/>
        </w:rPr>
      </w:pPr>
      <w:r>
        <w:rPr>
          <w:rFonts w:ascii="Arial" w:hAnsi="Arial"/>
        </w:rPr>
        <w:t>But would it work? Against the project was the short development time, and the serious risk that it may not come together in time. Over a period of not much more than three months, the online component of the subject began to take shape, with ongoing discussions with the programmer guiding the evolving look and feel of the software. At the same time, David worked on the draft content submitted by his colleagues, maintaining the activity focus and continually striving to cut down the amount of content. It was all good stuff, but there was just too much of it!</w:t>
      </w:r>
    </w:p>
    <w:p w14:paraId="08BCCAF8" w14:textId="77777777" w:rsidR="008A6301" w:rsidRDefault="008A6301" w:rsidP="008A6301">
      <w:pPr>
        <w:ind w:firstLine="720"/>
        <w:rPr>
          <w:rFonts w:ascii="Arial" w:hAnsi="Arial"/>
        </w:rPr>
      </w:pPr>
      <w:r>
        <w:rPr>
          <w:rFonts w:ascii="Arial" w:hAnsi="Arial"/>
        </w:rPr>
        <w:lastRenderedPageBreak/>
        <w:t xml:space="preserve">With six weeks to go, the first fully functional version of the subject was put on the server. The following four weeks were spent checking functionality, links, and effectiveness of design features along with analysis of its robustness. This resulted in further iterations and tweaking to get a workable resource. One example was a change to the search facility, to have it open in a separate browser window. This allows a student to make comments in the relevant activity box in one window whilst engaging in searching and </w:t>
      </w:r>
      <w:proofErr w:type="spellStart"/>
      <w:r>
        <w:rPr>
          <w:rFonts w:ascii="Arial" w:hAnsi="Arial"/>
        </w:rPr>
        <w:t>analysing</w:t>
      </w:r>
      <w:proofErr w:type="spellEnd"/>
      <w:r>
        <w:rPr>
          <w:rFonts w:ascii="Arial" w:hAnsi="Arial"/>
        </w:rPr>
        <w:t xml:space="preserve"> other’s contributions in another. All was ready – just – but would the students warm to the new learning environment? Most of the people who would take the course had never learned or taught in an online environment before.  We already knew that some were anxious about it.  What should we do?</w:t>
      </w:r>
    </w:p>
    <w:p w14:paraId="4DC34854" w14:textId="77777777" w:rsidR="008A6301" w:rsidRDefault="008A6301" w:rsidP="008A6301">
      <w:pPr>
        <w:ind w:firstLine="720"/>
        <w:rPr>
          <w:rFonts w:ascii="Arial" w:hAnsi="Arial"/>
        </w:rPr>
      </w:pPr>
    </w:p>
    <w:p w14:paraId="57BA8A98" w14:textId="77777777" w:rsidR="008A6301" w:rsidRDefault="008A6301" w:rsidP="008A6301">
      <w:pPr>
        <w:numPr>
          <w:ilvl w:val="0"/>
          <w:numId w:val="4"/>
        </w:numPr>
        <w:tabs>
          <w:tab w:val="clear" w:pos="360"/>
          <w:tab w:val="num" w:pos="1080"/>
        </w:tabs>
        <w:ind w:left="1080"/>
        <w:rPr>
          <w:rFonts w:ascii="Arial" w:hAnsi="Arial"/>
          <w:i/>
        </w:rPr>
      </w:pPr>
      <w:r>
        <w:rPr>
          <w:rFonts w:ascii="Arial" w:hAnsi="Arial"/>
          <w:i/>
        </w:rPr>
        <w:t>What could the team do to prepare participants who had never worked in an on-line learning environment before for the new environment?</w:t>
      </w:r>
    </w:p>
    <w:p w14:paraId="2A63D87D" w14:textId="77777777" w:rsidR="008A6301" w:rsidRDefault="008A6301" w:rsidP="008A6301">
      <w:pPr>
        <w:numPr>
          <w:ilvl w:val="0"/>
          <w:numId w:val="4"/>
        </w:numPr>
        <w:tabs>
          <w:tab w:val="clear" w:pos="360"/>
          <w:tab w:val="num" w:pos="1080"/>
        </w:tabs>
        <w:ind w:left="1080"/>
        <w:rPr>
          <w:rFonts w:ascii="Arial" w:hAnsi="Arial"/>
          <w:i/>
        </w:rPr>
      </w:pPr>
      <w:r>
        <w:rPr>
          <w:rFonts w:ascii="Arial" w:hAnsi="Arial"/>
          <w:i/>
        </w:rPr>
        <w:t>What do you think would be the major concerns of students?</w:t>
      </w:r>
    </w:p>
    <w:p w14:paraId="53750322" w14:textId="77777777" w:rsidR="008A6301" w:rsidRDefault="008A6301" w:rsidP="008A6301">
      <w:pPr>
        <w:numPr>
          <w:ilvl w:val="0"/>
          <w:numId w:val="4"/>
        </w:numPr>
        <w:tabs>
          <w:tab w:val="clear" w:pos="360"/>
          <w:tab w:val="num" w:pos="1080"/>
        </w:tabs>
        <w:ind w:left="1080"/>
        <w:rPr>
          <w:rFonts w:ascii="Arial" w:hAnsi="Arial"/>
          <w:i/>
        </w:rPr>
      </w:pPr>
      <w:r>
        <w:rPr>
          <w:rFonts w:ascii="Arial" w:hAnsi="Arial"/>
          <w:i/>
        </w:rPr>
        <w:t>What do you think was the reaction of students to the new environment?</w:t>
      </w:r>
    </w:p>
    <w:p w14:paraId="4B061361" w14:textId="77777777" w:rsidR="008A6301" w:rsidRDefault="008A6301" w:rsidP="008A6301">
      <w:pPr>
        <w:ind w:firstLine="720"/>
        <w:rPr>
          <w:rFonts w:ascii="Arial" w:hAnsi="Arial"/>
        </w:rPr>
      </w:pPr>
    </w:p>
    <w:p w14:paraId="43225CE2" w14:textId="77777777" w:rsidR="008A6301" w:rsidRDefault="008A6301" w:rsidP="008A6301">
      <w:pPr>
        <w:ind w:firstLine="720"/>
        <w:rPr>
          <w:rFonts w:ascii="Arial" w:hAnsi="Arial"/>
        </w:rPr>
      </w:pPr>
    </w:p>
    <w:p w14:paraId="1852327B" w14:textId="77777777" w:rsidR="008A6301" w:rsidRDefault="008A6301" w:rsidP="008A6301">
      <w:pPr>
        <w:rPr>
          <w:rFonts w:ascii="Arial" w:hAnsi="Arial"/>
        </w:rPr>
      </w:pPr>
      <w:r>
        <w:rPr>
          <w:rFonts w:ascii="Arial" w:hAnsi="Arial"/>
        </w:rPr>
        <w:t>PART THREE</w:t>
      </w:r>
    </w:p>
    <w:p w14:paraId="24674D23" w14:textId="77777777" w:rsidR="008A6301" w:rsidRDefault="008A6301" w:rsidP="008A6301">
      <w:pPr>
        <w:rPr>
          <w:rFonts w:ascii="Arial" w:hAnsi="Arial"/>
        </w:rPr>
      </w:pPr>
    </w:p>
    <w:p w14:paraId="2A06F0E3" w14:textId="77777777" w:rsidR="008A6301" w:rsidRDefault="008A6301" w:rsidP="008A6301">
      <w:pPr>
        <w:pStyle w:val="BodyText"/>
        <w:spacing w:after="0" w:line="240" w:lineRule="auto"/>
      </w:pPr>
      <w:proofErr w:type="spellStart"/>
      <w:r>
        <w:rPr>
          <w:i/>
        </w:rPr>
        <w:t>InterLearn</w:t>
      </w:r>
      <w:proofErr w:type="spellEnd"/>
      <w:r>
        <w:t xml:space="preserve"> was demonstrated at introductory workshop sessions and participants were sent a global email to welcome them and encourage them to get started. Its use was also outlined in a printed study guide for the subject, and faculty-based computer support staff were alerted to possible difficulties. The development team sat back and nervously waited for responses to start appearing on the database.</w:t>
      </w:r>
    </w:p>
    <w:p w14:paraId="6753FEA4" w14:textId="77777777" w:rsidR="008A6301" w:rsidRDefault="008A6301" w:rsidP="008A6301">
      <w:pPr>
        <w:rPr>
          <w:rFonts w:ascii="Arial" w:hAnsi="Arial"/>
        </w:rPr>
      </w:pPr>
      <w:r>
        <w:rPr>
          <w:rFonts w:ascii="Arial" w:hAnsi="Arial"/>
        </w:rPr>
        <w:t xml:space="preserve"> </w:t>
      </w:r>
      <w:r>
        <w:rPr>
          <w:rFonts w:ascii="Arial" w:hAnsi="Arial"/>
        </w:rPr>
        <w:tab/>
        <w:t>Thankfully, contributions began to appear, slowly at first but growing quickly until nearly all participants were engaged with the subject materials. A student even posted on the discussion group before the first teacher’s welcoming comment was made. Not only that, but the quality of the postings was refreshingly high, as the worksite began to take on a life of its own and the students became an interactive group.</w:t>
      </w:r>
    </w:p>
    <w:p w14:paraId="1C5CD30A" w14:textId="77777777" w:rsidR="008A6301" w:rsidRDefault="008A6301" w:rsidP="008A6301">
      <w:pPr>
        <w:ind w:firstLine="720"/>
        <w:rPr>
          <w:rFonts w:ascii="Arial" w:hAnsi="Arial"/>
        </w:rPr>
      </w:pPr>
      <w:r>
        <w:rPr>
          <w:rFonts w:ascii="Arial" w:hAnsi="Arial"/>
        </w:rPr>
        <w:t xml:space="preserve">After the first year of use, student responses to the online environment were very positive and encouraging. Evaluation of the use of </w:t>
      </w:r>
      <w:proofErr w:type="spellStart"/>
      <w:r>
        <w:rPr>
          <w:rFonts w:ascii="Arial" w:hAnsi="Arial"/>
          <w:i/>
        </w:rPr>
        <w:t>InterLearn</w:t>
      </w:r>
      <w:proofErr w:type="spellEnd"/>
      <w:r>
        <w:rPr>
          <w:rFonts w:ascii="Arial" w:hAnsi="Arial"/>
        </w:rPr>
        <w:t xml:space="preserve"> in the Graduate Certificate has indicated that course participants welcome the approach and feedback by students (themselves University teachers) includes remarks such as:</w:t>
      </w:r>
    </w:p>
    <w:p w14:paraId="3018EAF8" w14:textId="77777777" w:rsidR="008A6301" w:rsidRDefault="008A6301" w:rsidP="008A6301">
      <w:pPr>
        <w:rPr>
          <w:rFonts w:ascii="Arial" w:hAnsi="Arial"/>
        </w:rPr>
      </w:pPr>
    </w:p>
    <w:p w14:paraId="46FAF8BF" w14:textId="77777777" w:rsidR="008A6301" w:rsidRDefault="008A6301" w:rsidP="008A6301">
      <w:pPr>
        <w:ind w:left="810" w:right="1530"/>
        <w:rPr>
          <w:rFonts w:ascii="Arial" w:hAnsi="Arial"/>
        </w:rPr>
      </w:pPr>
      <w:r>
        <w:rPr>
          <w:rFonts w:ascii="Arial" w:hAnsi="Arial"/>
        </w:rPr>
        <w:t>“I am particularly happy with the activity system adopted in the course under different modules. The activity system allows me to build my knowledge gradually in a very flexible way.  It also allows me to share others’ experience and gain from their experience and knowledge.  Another good reason is that I can practice what I learned from others in my own class and add that experience to activities.”</w:t>
      </w:r>
    </w:p>
    <w:p w14:paraId="25258A42" w14:textId="77777777" w:rsidR="008A6301" w:rsidRDefault="008A6301" w:rsidP="008A6301">
      <w:pPr>
        <w:rPr>
          <w:rFonts w:ascii="Arial" w:hAnsi="Arial"/>
        </w:rPr>
      </w:pPr>
    </w:p>
    <w:p w14:paraId="2C35DBC5" w14:textId="77777777" w:rsidR="008A6301" w:rsidRDefault="008A6301" w:rsidP="008A6301">
      <w:pPr>
        <w:ind w:left="810" w:right="1530"/>
        <w:rPr>
          <w:rFonts w:ascii="Arial" w:hAnsi="Arial"/>
        </w:rPr>
      </w:pPr>
      <w:r>
        <w:rPr>
          <w:rFonts w:ascii="Arial" w:hAnsi="Arial"/>
        </w:rPr>
        <w:t>“Reading the various responses of other people is a great way of getting a better picture of what the class thinks as a whole.”</w:t>
      </w:r>
    </w:p>
    <w:p w14:paraId="293CED95" w14:textId="77777777" w:rsidR="008A6301" w:rsidRDefault="008A6301" w:rsidP="008A6301">
      <w:pPr>
        <w:pStyle w:val="BodyText"/>
      </w:pPr>
    </w:p>
    <w:p w14:paraId="21733EE1" w14:textId="77777777" w:rsidR="008A6301" w:rsidRDefault="008A6301" w:rsidP="008A6301">
      <w:pPr>
        <w:ind w:firstLine="360"/>
        <w:rPr>
          <w:rFonts w:ascii="Arial" w:hAnsi="Arial"/>
        </w:rPr>
      </w:pPr>
      <w:proofErr w:type="spellStart"/>
      <w:r>
        <w:rPr>
          <w:rFonts w:ascii="Arial" w:hAnsi="Arial"/>
          <w:i/>
        </w:rPr>
        <w:lastRenderedPageBreak/>
        <w:t>InterLearn</w:t>
      </w:r>
      <w:proofErr w:type="spellEnd"/>
      <w:r>
        <w:rPr>
          <w:rFonts w:ascii="Arial" w:hAnsi="Arial"/>
        </w:rPr>
        <w:t xml:space="preserve"> has now been used in all four subjects of the Graduate Certificate in Higher Education, and is beginning to be applied more widely within Monash University. However, there are aspects of its design that could be improved, and it has yet to be used in other contexts. It is a </w:t>
      </w:r>
      <w:proofErr w:type="spellStart"/>
      <w:r>
        <w:rPr>
          <w:rFonts w:ascii="Arial" w:hAnsi="Arial"/>
        </w:rPr>
        <w:t>focussed</w:t>
      </w:r>
      <w:proofErr w:type="spellEnd"/>
      <w:r>
        <w:rPr>
          <w:rFonts w:ascii="Arial" w:hAnsi="Arial"/>
        </w:rPr>
        <w:t xml:space="preserve"> software tool that is not suited to all online learning environments, and would require further investment to make it commercially viable. Although the functionality of </w:t>
      </w:r>
      <w:proofErr w:type="spellStart"/>
      <w:r>
        <w:rPr>
          <w:rFonts w:ascii="Arial" w:hAnsi="Arial"/>
          <w:i/>
        </w:rPr>
        <w:t>InterLearn</w:t>
      </w:r>
      <w:proofErr w:type="spellEnd"/>
      <w:r>
        <w:rPr>
          <w:rFonts w:ascii="Arial" w:hAnsi="Arial"/>
        </w:rPr>
        <w:t xml:space="preserve"> will not be significantly extended, some minor refinements are currently being undertaken including improvement of the search function and upgrading of the Maintenance module. </w:t>
      </w:r>
    </w:p>
    <w:p w14:paraId="5D3FF7BB" w14:textId="77777777" w:rsidR="008A6301" w:rsidRDefault="008A6301" w:rsidP="008A6301">
      <w:pPr>
        <w:ind w:firstLine="360"/>
        <w:rPr>
          <w:rFonts w:ascii="Arial" w:hAnsi="Arial"/>
        </w:rPr>
      </w:pPr>
      <w:r>
        <w:rPr>
          <w:rFonts w:ascii="Arial" w:hAnsi="Arial"/>
        </w:rPr>
        <w:t xml:space="preserve">One final observation of the work so far is the monitoring of workload for teachers using the </w:t>
      </w:r>
      <w:proofErr w:type="spellStart"/>
      <w:r>
        <w:rPr>
          <w:rFonts w:ascii="Arial" w:hAnsi="Arial"/>
          <w:i/>
        </w:rPr>
        <w:t>InterLearn</w:t>
      </w:r>
      <w:proofErr w:type="spellEnd"/>
      <w:r>
        <w:rPr>
          <w:rFonts w:ascii="Arial" w:hAnsi="Arial"/>
        </w:rPr>
        <w:t xml:space="preserve">-supported activities in the Graduate Certificate subjects. It is generally agreed by the teaching staff that interactivity between students in on-line courses can be stimulated without adding substantially to the overall teaching load. </w:t>
      </w:r>
    </w:p>
    <w:p w14:paraId="7A0FB166" w14:textId="77777777" w:rsidR="008A6301" w:rsidRDefault="008A6301" w:rsidP="008A6301">
      <w:pPr>
        <w:pStyle w:val="BodyText"/>
      </w:pPr>
    </w:p>
    <w:p w14:paraId="4715888C" w14:textId="77777777" w:rsidR="008A6301" w:rsidRDefault="008A6301" w:rsidP="008A6301">
      <w:pPr>
        <w:numPr>
          <w:ilvl w:val="0"/>
          <w:numId w:val="3"/>
        </w:numPr>
        <w:ind w:right="1422"/>
        <w:rPr>
          <w:rFonts w:ascii="Arial" w:hAnsi="Arial"/>
          <w:i/>
        </w:rPr>
      </w:pPr>
      <w:r>
        <w:rPr>
          <w:rFonts w:ascii="Arial" w:hAnsi="Arial"/>
          <w:i/>
        </w:rPr>
        <w:t>Did the development turn out as you expected?</w:t>
      </w:r>
    </w:p>
    <w:p w14:paraId="20242B51" w14:textId="77777777" w:rsidR="008A6301" w:rsidRDefault="008A6301" w:rsidP="008A6301">
      <w:pPr>
        <w:numPr>
          <w:ilvl w:val="0"/>
          <w:numId w:val="3"/>
        </w:numPr>
        <w:ind w:right="1422"/>
        <w:rPr>
          <w:rFonts w:ascii="Arial" w:hAnsi="Arial"/>
          <w:i/>
        </w:rPr>
      </w:pPr>
      <w:r>
        <w:rPr>
          <w:rFonts w:ascii="Arial" w:hAnsi="Arial"/>
          <w:i/>
        </w:rPr>
        <w:t>Why do you think this team in particular went with the riskier option?</w:t>
      </w:r>
    </w:p>
    <w:p w14:paraId="269E8EB4" w14:textId="77777777" w:rsidR="008A6301" w:rsidRDefault="008A6301" w:rsidP="008A6301">
      <w:pPr>
        <w:numPr>
          <w:ilvl w:val="0"/>
          <w:numId w:val="3"/>
        </w:numPr>
        <w:ind w:right="1422"/>
        <w:rPr>
          <w:rFonts w:ascii="Arial" w:hAnsi="Arial"/>
          <w:i/>
        </w:rPr>
      </w:pPr>
      <w:r>
        <w:rPr>
          <w:rFonts w:ascii="Arial" w:hAnsi="Arial"/>
          <w:i/>
        </w:rPr>
        <w:t>Are there any lessons to be taken from this case for your own course development and teaching?</w:t>
      </w:r>
    </w:p>
    <w:p w14:paraId="2BD565C9" w14:textId="77777777" w:rsidR="008A6301" w:rsidRDefault="008A6301" w:rsidP="008A6301">
      <w:pPr>
        <w:pStyle w:val="BodyText"/>
      </w:pPr>
    </w:p>
    <w:p w14:paraId="34AE940E" w14:textId="77777777" w:rsidR="008A6301" w:rsidRDefault="008A6301" w:rsidP="008A6301">
      <w:pPr>
        <w:pStyle w:val="Heading2"/>
        <w:rPr>
          <w:rFonts w:ascii="Arial" w:hAnsi="Arial"/>
          <w:b w:val="0"/>
        </w:rPr>
      </w:pPr>
      <w:r>
        <w:rPr>
          <w:rFonts w:ascii="Arial" w:hAnsi="Arial"/>
          <w:b w:val="0"/>
        </w:rPr>
        <w:t>Case Reporters’ Discussion</w:t>
      </w:r>
    </w:p>
    <w:p w14:paraId="2872B43B" w14:textId="77777777" w:rsidR="008A6301" w:rsidRDefault="008A6301" w:rsidP="008A6301">
      <w:pPr>
        <w:rPr>
          <w:rFonts w:ascii="Arial" w:hAnsi="Arial"/>
        </w:rPr>
      </w:pPr>
      <w:r>
        <w:rPr>
          <w:rFonts w:ascii="Arial" w:hAnsi="Arial"/>
        </w:rPr>
        <w:t xml:space="preserve">Teachers in higher education are increasingly being faced with the challenge of offering at least part of their subjects online. Many institutions are </w:t>
      </w:r>
      <w:proofErr w:type="spellStart"/>
      <w:r>
        <w:rPr>
          <w:rFonts w:ascii="Arial" w:hAnsi="Arial"/>
        </w:rPr>
        <w:t>focussing</w:t>
      </w:r>
      <w:proofErr w:type="spellEnd"/>
      <w:r>
        <w:rPr>
          <w:rFonts w:ascii="Arial" w:hAnsi="Arial"/>
        </w:rPr>
        <w:t xml:space="preserve"> on particular software platforms or solutions which bring their own set of problems, but most academics are still faced with elements of choice in what to put on-line and how to structure the learning experience of their students. How much the creativity of the teacher is stifled because of the restriction of commercial </w:t>
      </w:r>
      <w:proofErr w:type="gramStart"/>
      <w:r>
        <w:rPr>
          <w:rFonts w:ascii="Arial" w:hAnsi="Arial"/>
        </w:rPr>
        <w:t>systems  with</w:t>
      </w:r>
      <w:proofErr w:type="gramEnd"/>
      <w:r>
        <w:rPr>
          <w:rFonts w:ascii="Arial" w:hAnsi="Arial"/>
        </w:rPr>
        <w:t xml:space="preserve"> constrained and limited interactions is debatable.</w:t>
      </w:r>
    </w:p>
    <w:p w14:paraId="5378F86D" w14:textId="77777777" w:rsidR="008A6301" w:rsidRDefault="008A6301" w:rsidP="008A6301">
      <w:pPr>
        <w:ind w:firstLine="360"/>
        <w:rPr>
          <w:rFonts w:ascii="Arial" w:hAnsi="Arial"/>
        </w:rPr>
      </w:pPr>
      <w:r>
        <w:rPr>
          <w:rFonts w:ascii="Arial" w:hAnsi="Arial"/>
        </w:rPr>
        <w:t>Nevertheless, there was definitely a sense of adventure and risk-taking as we embarked on the course design and development. The main reasons that the project succeeded appear to be:</w:t>
      </w:r>
    </w:p>
    <w:p w14:paraId="62DF41E4" w14:textId="77777777" w:rsidR="008A6301" w:rsidRDefault="008A6301" w:rsidP="008A6301">
      <w:pPr>
        <w:numPr>
          <w:ilvl w:val="0"/>
          <w:numId w:val="1"/>
        </w:numPr>
        <w:rPr>
          <w:rFonts w:ascii="Arial" w:hAnsi="Arial"/>
        </w:rPr>
      </w:pPr>
      <w:r>
        <w:rPr>
          <w:rFonts w:ascii="Arial" w:hAnsi="Arial"/>
        </w:rPr>
        <w:t>a planned, team-based approach;</w:t>
      </w:r>
    </w:p>
    <w:p w14:paraId="29EFAEEE" w14:textId="77777777" w:rsidR="008A6301" w:rsidRDefault="008A6301" w:rsidP="008A6301">
      <w:pPr>
        <w:numPr>
          <w:ilvl w:val="0"/>
          <w:numId w:val="1"/>
        </w:numPr>
        <w:rPr>
          <w:rFonts w:ascii="Arial" w:hAnsi="Arial"/>
        </w:rPr>
      </w:pPr>
      <w:r>
        <w:rPr>
          <w:rFonts w:ascii="Arial" w:hAnsi="Arial"/>
        </w:rPr>
        <w:t>the maintenance of a pedagogical focus – the technology served this focus, rather than driving the project;</w:t>
      </w:r>
    </w:p>
    <w:p w14:paraId="6B16B7E6" w14:textId="77777777" w:rsidR="008A6301" w:rsidRDefault="008A6301" w:rsidP="008A6301">
      <w:pPr>
        <w:numPr>
          <w:ilvl w:val="0"/>
          <w:numId w:val="1"/>
        </w:numPr>
        <w:rPr>
          <w:rFonts w:ascii="Arial" w:hAnsi="Arial"/>
        </w:rPr>
      </w:pPr>
      <w:r>
        <w:rPr>
          <w:rFonts w:ascii="Arial" w:hAnsi="Arial"/>
        </w:rPr>
        <w:t>use of experienced staff in both teacher education and flexible learning;</w:t>
      </w:r>
    </w:p>
    <w:p w14:paraId="6199F1C8" w14:textId="77777777" w:rsidR="008A6301" w:rsidRDefault="008A6301" w:rsidP="008A6301">
      <w:pPr>
        <w:numPr>
          <w:ilvl w:val="0"/>
          <w:numId w:val="1"/>
        </w:numPr>
        <w:rPr>
          <w:rFonts w:ascii="Arial" w:hAnsi="Arial"/>
        </w:rPr>
      </w:pPr>
      <w:r>
        <w:rPr>
          <w:rFonts w:ascii="Arial" w:hAnsi="Arial"/>
        </w:rPr>
        <w:t xml:space="preserve">keeping the software development modest and </w:t>
      </w:r>
      <w:proofErr w:type="spellStart"/>
      <w:r>
        <w:rPr>
          <w:rFonts w:ascii="Arial" w:hAnsi="Arial"/>
        </w:rPr>
        <w:t>focussed</w:t>
      </w:r>
      <w:proofErr w:type="spellEnd"/>
      <w:r>
        <w:rPr>
          <w:rFonts w:ascii="Arial" w:hAnsi="Arial"/>
        </w:rPr>
        <w:t xml:space="preserve"> on specific aims – there was never a sense of creating a new all-encompassing application;</w:t>
      </w:r>
    </w:p>
    <w:p w14:paraId="69DD6FFA" w14:textId="77777777" w:rsidR="008A6301" w:rsidRDefault="008A6301" w:rsidP="008A6301">
      <w:pPr>
        <w:numPr>
          <w:ilvl w:val="0"/>
          <w:numId w:val="1"/>
        </w:numPr>
        <w:rPr>
          <w:rFonts w:ascii="Arial" w:hAnsi="Arial"/>
        </w:rPr>
      </w:pPr>
      <w:r>
        <w:rPr>
          <w:rFonts w:ascii="Arial" w:hAnsi="Arial"/>
        </w:rPr>
        <w:t>‘getting the mixture right’ – using technologies appropriately and responding to the learners’ needs and context, especially with respect to interaction/independence; and</w:t>
      </w:r>
    </w:p>
    <w:p w14:paraId="6F1DC05B" w14:textId="77777777" w:rsidR="008A6301" w:rsidRDefault="008A6301" w:rsidP="008A6301">
      <w:pPr>
        <w:numPr>
          <w:ilvl w:val="0"/>
          <w:numId w:val="1"/>
        </w:numPr>
        <w:rPr>
          <w:rFonts w:ascii="Arial" w:hAnsi="Arial"/>
        </w:rPr>
      </w:pPr>
      <w:r>
        <w:rPr>
          <w:rFonts w:ascii="Arial" w:hAnsi="Arial"/>
        </w:rPr>
        <w:t>maintaining a vision of what the software tool was to achieve.</w:t>
      </w:r>
    </w:p>
    <w:p w14:paraId="63694A88" w14:textId="77777777" w:rsidR="008A6301" w:rsidRDefault="008A6301" w:rsidP="008A6301">
      <w:pPr>
        <w:ind w:firstLine="360"/>
        <w:rPr>
          <w:rFonts w:ascii="Arial" w:hAnsi="Arial"/>
        </w:rPr>
      </w:pPr>
      <w:r>
        <w:rPr>
          <w:rFonts w:ascii="Arial" w:hAnsi="Arial"/>
        </w:rPr>
        <w:t xml:space="preserve">There was also an acceptance that many decisions would need to be made ‘on the run’. That does not mean that decisions were made lightly, but it was </w:t>
      </w:r>
      <w:proofErr w:type="spellStart"/>
      <w:r>
        <w:rPr>
          <w:rFonts w:ascii="Arial" w:hAnsi="Arial"/>
        </w:rPr>
        <w:t>recognised</w:t>
      </w:r>
      <w:proofErr w:type="spellEnd"/>
      <w:r>
        <w:rPr>
          <w:rFonts w:ascii="Arial" w:hAnsi="Arial"/>
        </w:rPr>
        <w:t xml:space="preserve"> that problems had to be addressed swiftly, and that choices would not always be easy.</w:t>
      </w:r>
    </w:p>
    <w:p w14:paraId="595D3DC3" w14:textId="77777777" w:rsidR="008A6301" w:rsidRDefault="008A6301" w:rsidP="008A6301">
      <w:pPr>
        <w:ind w:firstLine="360"/>
        <w:rPr>
          <w:rFonts w:ascii="Arial" w:hAnsi="Arial"/>
        </w:rPr>
      </w:pPr>
      <w:r>
        <w:rPr>
          <w:rFonts w:ascii="Arial" w:hAnsi="Arial"/>
        </w:rPr>
        <w:t xml:space="preserve">At the same time, the team was acutely aware of the credibility challenges they faced with respect to their teaching approach, appropriate use of technology, and </w:t>
      </w:r>
      <w:r>
        <w:rPr>
          <w:rFonts w:ascii="Arial" w:hAnsi="Arial"/>
        </w:rPr>
        <w:lastRenderedPageBreak/>
        <w:t>development of a rich and justifiable teaching and learning environment. Staff developers (the teachers) in this case are wide-open to (often misinformed) criticism concerning their lack of awareness of the constraints to teaching in the ‘real world’ and that good educational theory is all very well but is not realistic in the participant’s teaching situation.  Added to this is the particular need to demonstrate the use of technology for good rather than retrogressive educational purposes.  A considerable amount of credibility was therefore on the line when this course opened, which may have influenced the decision to go with the more educationally justifiable decision.  However, having taken that route, had the software not worked properly, or had there been major problems of any kind, the results could have been very serious for credibility in all areas.</w:t>
      </w:r>
    </w:p>
    <w:p w14:paraId="6917536E" w14:textId="77777777" w:rsidR="008A6301" w:rsidRDefault="008A6301" w:rsidP="008A6301">
      <w:pPr>
        <w:ind w:firstLine="360"/>
        <w:rPr>
          <w:rFonts w:ascii="Arial" w:hAnsi="Arial"/>
        </w:rPr>
      </w:pPr>
      <w:r>
        <w:rPr>
          <w:rFonts w:ascii="Arial" w:hAnsi="Arial"/>
        </w:rPr>
        <w:t>This also relates to the issue of resourcing and the environment in which the case study took place. The Director of the Centre, who was also a member of the team, strongly encouraged innovation, displayed trust in team members and provided the resources (both time and funds) required to see the project through. The environment in which the case took place was thus conducive to experimentation and the opportunity to create a novel and collaborative learning environment.</w:t>
      </w:r>
    </w:p>
    <w:p w14:paraId="3EE88AE3" w14:textId="77777777" w:rsidR="008A6301" w:rsidRDefault="008A6301" w:rsidP="008A6301">
      <w:pPr>
        <w:pStyle w:val="BodyText"/>
        <w:spacing w:after="0" w:line="240" w:lineRule="auto"/>
        <w:ind w:firstLine="357"/>
      </w:pPr>
      <w:r>
        <w:t xml:space="preserve">Perhaps not obvious in the case so far is the use of outsourcing in the development process. A preliminary analysis to speed the review of available commercial systems at the time was outsourced to a consultant. Further, once the initial ideas were in place, a programmer and a graphic artist who had worked on other CHED projects were contracted to help turn the vision into reality. </w:t>
      </w:r>
    </w:p>
    <w:p w14:paraId="7A24FDD4" w14:textId="77777777" w:rsidR="008A6301" w:rsidRDefault="008A6301" w:rsidP="008A6301">
      <w:pPr>
        <w:ind w:firstLine="720"/>
        <w:rPr>
          <w:rFonts w:ascii="Arial" w:hAnsi="Arial"/>
        </w:rPr>
      </w:pPr>
      <w:r>
        <w:rPr>
          <w:rFonts w:ascii="Arial" w:hAnsi="Arial"/>
        </w:rPr>
        <w:t xml:space="preserve">For the development team, one exciting outcome is the conviction that there can be a deeper level of interaction using web-based approaches. Perhaps the most important lessons are allowing the technology to be driven by the needs of students, and be based on approaches that are activity based, relevant and engaging for the learner.  </w:t>
      </w:r>
    </w:p>
    <w:p w14:paraId="09E74B88" w14:textId="53A8B681" w:rsidR="008A6301" w:rsidRDefault="008A6301"/>
    <w:p w14:paraId="0A6E5BC4" w14:textId="04048ED5" w:rsidR="00AE47DA" w:rsidRDefault="00AE47DA" w:rsidP="00AE47DA">
      <w:r w:rsidRPr="00AE47DA">
        <w:rPr>
          <w:sz w:val="22"/>
        </w:rPr>
        <w:t>*</w:t>
      </w:r>
      <w:r>
        <w:rPr>
          <w:sz w:val="22"/>
        </w:rPr>
        <w:t xml:space="preserve"> </w:t>
      </w:r>
      <w:bookmarkStart w:id="0" w:name="_GoBack"/>
      <w:bookmarkEnd w:id="0"/>
      <w:r w:rsidRPr="00AE47DA">
        <w:rPr>
          <w:sz w:val="22"/>
        </w:rPr>
        <w:t xml:space="preserve">Webster, L. and Murphy, D. (2001) ‘The Reluctant Software Developers.’ Chapter in Murphy, D., Walker, R. and Webb, G. (2001) </w:t>
      </w:r>
      <w:r w:rsidRPr="00AE47DA">
        <w:rPr>
          <w:i/>
          <w:sz w:val="22"/>
        </w:rPr>
        <w:t xml:space="preserve">Online Learning and Teaching </w:t>
      </w:r>
      <w:proofErr w:type="gramStart"/>
      <w:r w:rsidRPr="00AE47DA">
        <w:rPr>
          <w:i/>
          <w:sz w:val="22"/>
        </w:rPr>
        <w:t>With</w:t>
      </w:r>
      <w:proofErr w:type="gramEnd"/>
      <w:r w:rsidRPr="00AE47DA">
        <w:rPr>
          <w:i/>
          <w:sz w:val="22"/>
        </w:rPr>
        <w:t xml:space="preserve"> Technology: Case Studies, Experience and Practice</w:t>
      </w:r>
      <w:r w:rsidRPr="00AE47DA">
        <w:rPr>
          <w:sz w:val="22"/>
        </w:rPr>
        <w:t>, London, Kogan Page, pp. 114-120.</w:t>
      </w:r>
    </w:p>
    <w:sectPr w:rsidR="00AE47DA" w:rsidSect="001A18A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410FA7"/>
    <w:multiLevelType w:val="hybridMultilevel"/>
    <w:tmpl w:val="70F0243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1703FB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5A175BF2"/>
    <w:multiLevelType w:val="hybridMultilevel"/>
    <w:tmpl w:val="4394D0A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5EB08AD"/>
    <w:multiLevelType w:val="hybridMultilevel"/>
    <w:tmpl w:val="E72E58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6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301"/>
    <w:rsid w:val="001A18A9"/>
    <w:rsid w:val="008A6301"/>
    <w:rsid w:val="00AE47DA"/>
    <w:rsid w:val="00BA06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44337"/>
  <w15:chartTrackingRefBased/>
  <w15:docId w15:val="{7483AD94-0B88-A348-82BC-FAF630A0F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6301"/>
    <w:rPr>
      <w:lang w:val="en-US"/>
    </w:rPr>
  </w:style>
  <w:style w:type="paragraph" w:styleId="Heading1">
    <w:name w:val="heading 1"/>
    <w:aliases w:val="wspc-Heading 1"/>
    <w:basedOn w:val="Normal"/>
    <w:next w:val="Normal"/>
    <w:link w:val="Heading1Char"/>
    <w:qFormat/>
    <w:rsid w:val="008A6301"/>
    <w:pPr>
      <w:keepNext/>
      <w:tabs>
        <w:tab w:val="left" w:pos="270"/>
        <w:tab w:val="left" w:pos="426"/>
        <w:tab w:val="left" w:pos="1440"/>
        <w:tab w:val="left" w:pos="1843"/>
        <w:tab w:val="left" w:pos="3969"/>
        <w:tab w:val="left" w:leader="underscore" w:pos="4253"/>
        <w:tab w:val="left" w:pos="4536"/>
        <w:tab w:val="left" w:pos="4754"/>
        <w:tab w:val="left" w:pos="5103"/>
        <w:tab w:val="left" w:leader="dot" w:pos="6237"/>
        <w:tab w:val="left" w:leader="underscore" w:pos="7797"/>
        <w:tab w:val="right" w:pos="8370"/>
        <w:tab w:val="right" w:pos="8640"/>
      </w:tabs>
      <w:outlineLvl w:val="0"/>
    </w:pPr>
    <w:rPr>
      <w:rFonts w:ascii="Arial" w:eastAsia="Times New Roman" w:hAnsi="Arial" w:cs="Times New Roman"/>
      <w:i/>
      <w:color w:val="000000"/>
      <w:spacing w:val="-2"/>
      <w:szCs w:val="20"/>
      <w:lang w:eastAsia="zh-TW"/>
    </w:rPr>
  </w:style>
  <w:style w:type="paragraph" w:styleId="Heading2">
    <w:name w:val="heading 2"/>
    <w:basedOn w:val="Normal"/>
    <w:next w:val="BodyText"/>
    <w:link w:val="Heading2Char"/>
    <w:qFormat/>
    <w:rsid w:val="008A6301"/>
    <w:pPr>
      <w:keepNext/>
      <w:tabs>
        <w:tab w:val="left" w:pos="270"/>
        <w:tab w:val="left" w:pos="426"/>
        <w:tab w:val="left" w:pos="1440"/>
        <w:tab w:val="left" w:pos="1843"/>
        <w:tab w:val="left" w:pos="3969"/>
        <w:tab w:val="left" w:leader="underscore" w:pos="4253"/>
        <w:tab w:val="left" w:pos="4536"/>
        <w:tab w:val="left" w:pos="4754"/>
        <w:tab w:val="left" w:pos="5103"/>
        <w:tab w:val="left" w:leader="dot" w:pos="6237"/>
        <w:tab w:val="left" w:leader="underscore" w:pos="7797"/>
        <w:tab w:val="right" w:pos="8370"/>
        <w:tab w:val="right" w:pos="8640"/>
      </w:tabs>
      <w:spacing w:after="120" w:line="360" w:lineRule="auto"/>
      <w:outlineLvl w:val="1"/>
    </w:pPr>
    <w:rPr>
      <w:rFonts w:ascii="Garamond" w:eastAsia="Times New Roman" w:hAnsi="Garamond" w:cs="Times New Roman"/>
      <w:b/>
      <w:color w:val="000000"/>
      <w:spacing w:val="-2"/>
      <w:kern w:val="28"/>
      <w:szCs w:val="20"/>
      <w:lang w:val="en-AU"/>
    </w:rPr>
  </w:style>
  <w:style w:type="paragraph" w:styleId="Heading3">
    <w:name w:val="heading 3"/>
    <w:basedOn w:val="Normal"/>
    <w:next w:val="BodyText"/>
    <w:link w:val="Heading3Char"/>
    <w:qFormat/>
    <w:rsid w:val="008A6301"/>
    <w:pPr>
      <w:keepNext/>
      <w:tabs>
        <w:tab w:val="left" w:pos="270"/>
        <w:tab w:val="left" w:pos="426"/>
        <w:tab w:val="left" w:pos="1440"/>
        <w:tab w:val="left" w:pos="1843"/>
        <w:tab w:val="left" w:pos="3969"/>
        <w:tab w:val="left" w:leader="underscore" w:pos="4253"/>
        <w:tab w:val="left" w:pos="4536"/>
        <w:tab w:val="left" w:pos="4754"/>
        <w:tab w:val="left" w:pos="5103"/>
        <w:tab w:val="left" w:leader="dot" w:pos="6237"/>
        <w:tab w:val="left" w:leader="underscore" w:pos="7797"/>
        <w:tab w:val="right" w:pos="8370"/>
        <w:tab w:val="right" w:pos="8640"/>
      </w:tabs>
      <w:spacing w:line="360" w:lineRule="auto"/>
      <w:outlineLvl w:val="2"/>
    </w:pPr>
    <w:rPr>
      <w:rFonts w:ascii="Arial" w:eastAsia="Times New Roman" w:hAnsi="Arial" w:cs="Times New Roman"/>
      <w:b/>
      <w:color w:val="000000"/>
      <w:spacing w:val="-2"/>
      <w:kern w:val="28"/>
      <w:szCs w:val="20"/>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wspc-Heading 1 Char"/>
    <w:basedOn w:val="DefaultParagraphFont"/>
    <w:link w:val="Heading1"/>
    <w:rsid w:val="008A6301"/>
    <w:rPr>
      <w:rFonts w:ascii="Arial" w:eastAsia="Times New Roman" w:hAnsi="Arial" w:cs="Times New Roman"/>
      <w:i/>
      <w:color w:val="000000"/>
      <w:spacing w:val="-2"/>
      <w:szCs w:val="20"/>
      <w:lang w:val="en-US" w:eastAsia="zh-TW"/>
    </w:rPr>
  </w:style>
  <w:style w:type="character" w:customStyle="1" w:styleId="Heading2Char">
    <w:name w:val="Heading 2 Char"/>
    <w:basedOn w:val="DefaultParagraphFont"/>
    <w:link w:val="Heading2"/>
    <w:rsid w:val="008A6301"/>
    <w:rPr>
      <w:rFonts w:ascii="Garamond" w:eastAsia="Times New Roman" w:hAnsi="Garamond" w:cs="Times New Roman"/>
      <w:b/>
      <w:color w:val="000000"/>
      <w:spacing w:val="-2"/>
      <w:kern w:val="28"/>
      <w:szCs w:val="20"/>
    </w:rPr>
  </w:style>
  <w:style w:type="character" w:customStyle="1" w:styleId="Heading3Char">
    <w:name w:val="Heading 3 Char"/>
    <w:basedOn w:val="DefaultParagraphFont"/>
    <w:link w:val="Heading3"/>
    <w:rsid w:val="008A6301"/>
    <w:rPr>
      <w:rFonts w:ascii="Arial" w:eastAsia="Times New Roman" w:hAnsi="Arial" w:cs="Times New Roman"/>
      <w:b/>
      <w:color w:val="000000"/>
      <w:spacing w:val="-2"/>
      <w:kern w:val="28"/>
      <w:szCs w:val="20"/>
      <w:lang w:val="en-US" w:eastAsia="zh-TW"/>
    </w:rPr>
  </w:style>
  <w:style w:type="paragraph" w:styleId="BodyText">
    <w:name w:val="Body Text"/>
    <w:basedOn w:val="Normal"/>
    <w:link w:val="BodyTextChar"/>
    <w:rsid w:val="008A6301"/>
    <w:pPr>
      <w:tabs>
        <w:tab w:val="left" w:pos="270"/>
        <w:tab w:val="left" w:pos="426"/>
        <w:tab w:val="left" w:pos="1440"/>
        <w:tab w:val="left" w:pos="1843"/>
        <w:tab w:val="left" w:pos="3969"/>
        <w:tab w:val="left" w:leader="underscore" w:pos="4253"/>
        <w:tab w:val="left" w:pos="4536"/>
        <w:tab w:val="left" w:pos="4754"/>
        <w:tab w:val="left" w:pos="5103"/>
        <w:tab w:val="left" w:leader="dot" w:pos="6237"/>
        <w:tab w:val="left" w:leader="underscore" w:pos="7797"/>
        <w:tab w:val="right" w:pos="8370"/>
        <w:tab w:val="right" w:pos="8640"/>
      </w:tabs>
      <w:spacing w:after="280" w:line="360" w:lineRule="auto"/>
      <w:ind w:right="74"/>
    </w:pPr>
    <w:rPr>
      <w:rFonts w:ascii="Arial" w:eastAsia="Times New Roman" w:hAnsi="Arial" w:cs="Times New Roman"/>
      <w:color w:val="000000"/>
      <w:spacing w:val="-2"/>
      <w:szCs w:val="20"/>
      <w:lang w:eastAsia="zh-TW"/>
    </w:rPr>
  </w:style>
  <w:style w:type="character" w:customStyle="1" w:styleId="BodyTextChar">
    <w:name w:val="Body Text Char"/>
    <w:basedOn w:val="DefaultParagraphFont"/>
    <w:link w:val="BodyText"/>
    <w:rsid w:val="008A6301"/>
    <w:rPr>
      <w:rFonts w:ascii="Arial" w:eastAsia="Times New Roman" w:hAnsi="Arial" w:cs="Times New Roman"/>
      <w:color w:val="000000"/>
      <w:spacing w:val="-2"/>
      <w:szCs w:val="20"/>
      <w:lang w:val="en-US" w:eastAsia="zh-TW"/>
    </w:rPr>
  </w:style>
  <w:style w:type="paragraph" w:styleId="Title">
    <w:name w:val="Title"/>
    <w:basedOn w:val="Normal"/>
    <w:link w:val="TitleChar"/>
    <w:qFormat/>
    <w:rsid w:val="008A6301"/>
    <w:pPr>
      <w:tabs>
        <w:tab w:val="left" w:pos="270"/>
        <w:tab w:val="left" w:pos="426"/>
        <w:tab w:val="left" w:pos="1440"/>
        <w:tab w:val="left" w:pos="1843"/>
        <w:tab w:val="left" w:pos="3969"/>
        <w:tab w:val="left" w:leader="underscore" w:pos="4253"/>
        <w:tab w:val="left" w:pos="4536"/>
        <w:tab w:val="left" w:pos="4754"/>
        <w:tab w:val="left" w:pos="5103"/>
        <w:tab w:val="left" w:leader="dot" w:pos="6237"/>
        <w:tab w:val="left" w:leader="underscore" w:pos="7797"/>
        <w:tab w:val="right" w:pos="8370"/>
        <w:tab w:val="right" w:pos="8640"/>
      </w:tabs>
      <w:jc w:val="center"/>
    </w:pPr>
    <w:rPr>
      <w:rFonts w:ascii="Arial" w:eastAsia="Times New Roman" w:hAnsi="Arial" w:cs="Times New Roman"/>
      <w:b/>
      <w:color w:val="000000"/>
      <w:spacing w:val="-2"/>
      <w:sz w:val="28"/>
      <w:szCs w:val="20"/>
      <w:lang w:eastAsia="zh-TW"/>
    </w:rPr>
  </w:style>
  <w:style w:type="character" w:customStyle="1" w:styleId="TitleChar">
    <w:name w:val="Title Char"/>
    <w:basedOn w:val="DefaultParagraphFont"/>
    <w:link w:val="Title"/>
    <w:rsid w:val="008A6301"/>
    <w:rPr>
      <w:rFonts w:ascii="Arial" w:eastAsia="Times New Roman" w:hAnsi="Arial" w:cs="Times New Roman"/>
      <w:b/>
      <w:color w:val="000000"/>
      <w:spacing w:val="-2"/>
      <w:sz w:val="28"/>
      <w:szCs w:val="20"/>
      <w:lang w:val="en-US" w:eastAsia="zh-TW"/>
    </w:rPr>
  </w:style>
  <w:style w:type="paragraph" w:styleId="ListParagraph">
    <w:name w:val="List Paragraph"/>
    <w:basedOn w:val="Normal"/>
    <w:uiPriority w:val="34"/>
    <w:qFormat/>
    <w:rsid w:val="00AE47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2606</Words>
  <Characters>14860</Characters>
  <Application>Microsoft Office Word</Application>
  <DocSecurity>0</DocSecurity>
  <Lines>123</Lines>
  <Paragraphs>34</Paragraphs>
  <ScaleCrop>false</ScaleCrop>
  <Company/>
  <LinksUpToDate>false</LinksUpToDate>
  <CharactersWithSpaces>17432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Murphy</dc:creator>
  <cp:keywords/>
  <dc:description/>
  <cp:lastModifiedBy>David Murphy</cp:lastModifiedBy>
  <cp:revision>2</cp:revision>
  <dcterms:created xsi:type="dcterms:W3CDTF">2019-05-09T23:43:00Z</dcterms:created>
  <dcterms:modified xsi:type="dcterms:W3CDTF">2019-05-09T23:46:00Z</dcterms:modified>
</cp:coreProperties>
</file>